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3754" w14:textId="77777777" w:rsidR="00F02424" w:rsidRPr="00A91542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КОНВЕРТИРУЕМОГО ЗАЙМА</w:t>
      </w:r>
    </w:p>
    <w:tbl>
      <w:tblPr>
        <w:tblStyle w:val="af4"/>
        <w:tblW w:w="9360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11"/>
        <w:gridCol w:w="4849"/>
      </w:tblGrid>
      <w:tr w:rsidR="00C80923" w:rsidRPr="00FE6632" w14:paraId="0F111065" w14:textId="77777777" w:rsidTr="00C80923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1846485" w14:textId="77777777" w:rsidR="00C80923" w:rsidRPr="000C6640" w:rsidRDefault="00C80923" w:rsidP="007C7D02">
            <w:pPr>
              <w:pStyle w:val="af2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C80923" w:rsidRPr="008A5E69" w14:paraId="0EACD88D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CAEB082" w14:textId="4A4FA623" w:rsidR="00C80923" w:rsidRPr="000C6640" w:rsidRDefault="00B319DF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Договор, по которому </w:t>
            </w:r>
            <w:r w:rsidR="00B3311B">
              <w:rPr>
                <w:rFonts w:ascii="Arial" w:hAnsi="Arial" w:cs="Arial"/>
                <w:lang w:val="ru-RU"/>
              </w:rPr>
              <w:t xml:space="preserve">Заимодавец вправе либо вернуть Задолженность, либо конвертировать ее </w:t>
            </w:r>
            <w:r w:rsidR="006966B3">
              <w:rPr>
                <w:rFonts w:ascii="Arial" w:hAnsi="Arial" w:cs="Arial"/>
                <w:lang w:val="ru-RU"/>
              </w:rPr>
              <w:t>в акции</w:t>
            </w:r>
            <w:r w:rsidR="00B3311B">
              <w:rPr>
                <w:rFonts w:ascii="Arial" w:hAnsi="Arial" w:cs="Arial"/>
                <w:lang w:val="ru-RU"/>
              </w:rPr>
              <w:t xml:space="preserve"> Заемщика (п</w:t>
            </w:r>
            <w:r w:rsidR="000E789B">
              <w:rPr>
                <w:rFonts w:ascii="Arial" w:hAnsi="Arial" w:cs="Arial"/>
                <w:lang w:val="ru-RU"/>
              </w:rPr>
              <w:t>ункты</w:t>
            </w:r>
            <w:r w:rsidR="00B3311B">
              <w:rPr>
                <w:rFonts w:ascii="Arial" w:hAnsi="Arial" w:cs="Arial"/>
                <w:lang w:val="ru-RU"/>
              </w:rPr>
              <w:t xml:space="preserve">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A3784F">
              <w:rPr>
                <w:rFonts w:ascii="Arial" w:hAnsi="Arial" w:cs="Arial"/>
                <w:lang w:val="ru-RU"/>
              </w:rPr>
              <w:fldChar w:fldCharType="begin"/>
            </w:r>
            <w:r w:rsidR="00A3784F"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 w:rsidR="00A3784F">
              <w:rPr>
                <w:rFonts w:ascii="Arial" w:hAnsi="Arial" w:cs="Arial"/>
                <w:lang w:val="ru-RU"/>
              </w:rPr>
            </w:r>
            <w:r w:rsidR="00A3784F">
              <w:rPr>
                <w:rFonts w:ascii="Arial" w:hAnsi="Arial" w:cs="Arial"/>
                <w:lang w:val="ru-RU"/>
              </w:rPr>
              <w:fldChar w:fldCharType="separate"/>
            </w:r>
            <w:r w:rsidR="00A3784F">
              <w:rPr>
                <w:rFonts w:ascii="Arial" w:hAnsi="Arial" w:cs="Arial"/>
                <w:lang w:val="ru-RU"/>
              </w:rPr>
              <w:t>7</w:t>
            </w:r>
            <w:r w:rsidR="00A3784F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9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>)</w:t>
            </w:r>
            <w:r w:rsidR="00C80923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4B63F71" w14:textId="164CC267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Для защиты интересов Заимодавца как раннего инвестора предусмотрены Дисконт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_Ref59737587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(a)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 и Потолок оценки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_Ref59737568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(b)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C80923" w:rsidRPr="00476331" w14:paraId="7EB3D9CA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7FC4E80" w14:textId="2A624D79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случае реализации </w:t>
            </w:r>
            <w:r w:rsidR="000E789B">
              <w:rPr>
                <w:rFonts w:ascii="Arial" w:hAnsi="Arial" w:cs="Arial"/>
                <w:lang w:val="ru-RU"/>
              </w:rPr>
              <w:t>Р</w:t>
            </w:r>
            <w:r>
              <w:rPr>
                <w:rFonts w:ascii="Arial" w:hAnsi="Arial" w:cs="Arial"/>
                <w:lang w:val="ru-RU"/>
              </w:rPr>
              <w:t xml:space="preserve">аунда финансирования Заемщика </w:t>
            </w:r>
            <w:r w:rsidR="00E77062">
              <w:rPr>
                <w:rFonts w:ascii="Arial" w:hAnsi="Arial" w:cs="Arial"/>
                <w:lang w:val="ru-RU"/>
              </w:rPr>
              <w:t xml:space="preserve">посредством </w:t>
            </w:r>
            <w:r>
              <w:rPr>
                <w:rFonts w:ascii="Arial" w:hAnsi="Arial" w:cs="Arial"/>
                <w:lang w:val="ru-RU"/>
              </w:rPr>
              <w:t>увеличени</w:t>
            </w:r>
            <w:r w:rsidR="00E77062">
              <w:rPr>
                <w:rFonts w:ascii="Arial" w:hAnsi="Arial" w:cs="Arial"/>
                <w:lang w:val="ru-RU"/>
              </w:rPr>
              <w:t>я</w:t>
            </w:r>
            <w:r>
              <w:rPr>
                <w:rFonts w:ascii="Arial" w:hAnsi="Arial" w:cs="Arial"/>
                <w:lang w:val="ru-RU"/>
              </w:rPr>
              <w:t xml:space="preserve"> уставного капитала Заимодавец обязан конвертировать всю Задолженность по оценке, данной инвесторами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8A5D8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55C3D98" w14:textId="3BE2FE25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 случае наступления иных Событий ликвидности</w:t>
            </w:r>
            <w:r w:rsidR="00A3784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Заимодавец вправе либо конвертировать Задолженность в </w:t>
            </w:r>
            <w:r w:rsidR="006966B3">
              <w:rPr>
                <w:rFonts w:ascii="Arial" w:hAnsi="Arial" w:cs="Arial"/>
                <w:lang w:val="ru-RU"/>
              </w:rPr>
              <w:t>акции</w:t>
            </w:r>
            <w:r w:rsidR="001E3C08">
              <w:rPr>
                <w:rFonts w:ascii="Arial" w:hAnsi="Arial" w:cs="Arial"/>
                <w:lang w:val="ru-RU"/>
              </w:rPr>
              <w:t xml:space="preserve"> по заранее согласованной оценке</w:t>
            </w:r>
            <w:r>
              <w:rPr>
                <w:rFonts w:ascii="Arial" w:hAnsi="Arial" w:cs="Arial"/>
                <w:lang w:val="ru-RU"/>
              </w:rPr>
              <w:t>, либо потребовать досрочного возврата Задолженности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7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6966B3" w:rsidRPr="000C6640" w14:paraId="3882B07A" w14:textId="77777777" w:rsidTr="009E7293">
        <w:tc>
          <w:tcPr>
            <w:tcW w:w="9360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F1F22B2" w14:textId="17073774" w:rsidR="006966B3" w:rsidRPr="000C6640" w:rsidRDefault="006966B3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случае если ни одно из Событий ликвидности не наступило, Заимодавец вправе конвертировать Задолженность в </w:t>
            </w:r>
            <w:r w:rsidR="00EB11F9">
              <w:rPr>
                <w:rFonts w:ascii="Arial" w:hAnsi="Arial" w:cs="Arial"/>
                <w:lang w:val="ru-RU"/>
              </w:rPr>
              <w:t>акции</w:t>
            </w:r>
            <w:r>
              <w:rPr>
                <w:rFonts w:ascii="Arial" w:hAnsi="Arial" w:cs="Arial"/>
                <w:lang w:val="ru-RU"/>
              </w:rPr>
              <w:t xml:space="preserve"> в зависимости от выручки Заемщика или потребовать возврата Задолженности (пункты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_Ref59707570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>
              <w:rPr>
                <w:rFonts w:ascii="Arial" w:hAnsi="Arial" w:cs="Arial"/>
                <w:lang w:val="ru-RU"/>
              </w:rPr>
              <w:t>8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 xml:space="preserve"> и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>
              <w:rPr>
                <w:rFonts w:ascii="Arial" w:hAnsi="Arial" w:cs="Arial"/>
                <w:lang w:val="ru-RU"/>
              </w:rPr>
              <w:t>9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Pr="00A449A3">
              <w:rPr>
                <w:rFonts w:ascii="Arial" w:hAnsi="Arial" w:cs="Arial"/>
                <w:lang w:val="ru-RU"/>
              </w:rPr>
              <w:t>.</w:t>
            </w:r>
            <w:r w:rsidR="00F24238">
              <w:rPr>
                <w:rFonts w:ascii="Arial" w:hAnsi="Arial" w:cs="Arial"/>
                <w:lang w:val="ru-RU"/>
              </w:rPr>
              <w:t xml:space="preserve"> Стороны также вправе договориться о продлении срока займа. </w:t>
            </w:r>
          </w:p>
        </w:tc>
      </w:tr>
      <w:tr w:rsidR="00C90C11" w:rsidRPr="000C6640" w14:paraId="2C7BF1DB" w14:textId="77777777" w:rsidTr="00C637EE">
        <w:tc>
          <w:tcPr>
            <w:tcW w:w="9360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B508E9E" w14:textId="74C3332A" w:rsidR="00C90C11" w:rsidRDefault="00C90C11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Шаблон договора составлен юристами </w:t>
            </w:r>
            <w:proofErr w:type="spellStart"/>
            <w:r>
              <w:rPr>
                <w:rFonts w:ascii="Arial" w:hAnsi="Arial" w:cs="Arial"/>
                <w:lang w:val="en-US"/>
              </w:rPr>
              <w:t>Buzko</w:t>
            </w:r>
            <w:proofErr w:type="spellEnd"/>
            <w:r w:rsidRPr="006F39F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Krasnov</w:t>
            </w:r>
            <w:r w:rsidRPr="006F39F7">
              <w:rPr>
                <w:rFonts w:ascii="Arial" w:hAnsi="Arial" w:cs="Arial"/>
                <w:lang w:val="ru-RU"/>
              </w:rPr>
              <w:t>.</w:t>
            </w:r>
            <w:r>
              <w:rPr>
                <w:rFonts w:ascii="Arial" w:hAnsi="Arial" w:cs="Arial"/>
                <w:lang w:val="ru-RU"/>
              </w:rPr>
              <w:t xml:space="preserve"> Не является юридической консультацией. Обязательно проконсультируйтесь со своим юристом перед заключением договора.</w:t>
            </w:r>
          </w:p>
        </w:tc>
      </w:tr>
      <w:tr w:rsidR="00C80923" w:rsidRPr="00261129" w14:paraId="3B45EB3F" w14:textId="77777777" w:rsidTr="00C80923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8B8F970" w14:textId="73E2C536" w:rsidR="00C80923" w:rsidRPr="006F39F7" w:rsidRDefault="00C80923" w:rsidP="006F39F7">
            <w:pPr>
              <w:pStyle w:val="af2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"/>
                <w:szCs w:val="2"/>
                <w:lang w:val="ru-RU"/>
              </w:rPr>
            </w:pPr>
          </w:p>
        </w:tc>
      </w:tr>
    </w:tbl>
    <w:p w14:paraId="2E239803" w14:textId="08B2D0B6" w:rsidR="00F02424" w:rsidRPr="00A91542" w:rsidRDefault="00F02424" w:rsidP="007C7D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конвертируемого займа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заключен 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дату последней подписи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«Дата заключения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между:</w:t>
      </w:r>
    </w:p>
    <w:p w14:paraId="268B86BB" w14:textId="299B68F1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14:paraId="51BC6D07" w14:textId="1842D3D5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E345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</w:p>
    <w:p w14:paraId="1E12491E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совместно именуемые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а каждый в отдельности —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E8BC7D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ПРЕАМБУЛА:</w:t>
      </w:r>
    </w:p>
    <w:p w14:paraId="137F1319" w14:textId="279C0851" w:rsidR="002D2702" w:rsidRDefault="00F024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желают заключить настоящий Договор в рамках реализации инвестиционной сделки, для которой характерно использование таких инструментов, как конвертируемые займы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(ст.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32.3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ФЗ «Об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70EF3D" w14:textId="1A4CB785" w:rsidR="00F82328" w:rsidRDefault="00F82328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заключают настоящий Договор на основании предварительного согласия общего собрания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(п.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32.3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ФЗ «Об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(Приложение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80B84D" w14:textId="6E9B75B3" w:rsidR="00F02424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СТОРОНЫ ДОГОВОРИЛИСЬ О НИЖЕСЛЕДУЮЩЕМ:</w:t>
      </w:r>
    </w:p>
    <w:p w14:paraId="60987361" w14:textId="09FDC646" w:rsidR="003744D9" w:rsidRDefault="00F355A6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Следующие термины имеют указанные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</w:t>
      </w:r>
      <w:r w:rsidR="00834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целей настоящего Договора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7C11196" w14:textId="467F06A1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предоставления финансирования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дату зачисления Суммы займа на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корреспондентский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счет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Заемщика.</w:t>
      </w:r>
    </w:p>
    <w:p w14:paraId="2FA6E804" w14:textId="7CE842F4" w:rsidR="00077D9A" w:rsidRDefault="00077D9A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Дисконт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Предынвестиционную оценку, уменьшенную на </w:t>
      </w:r>
      <w:r w:rsidR="00D00D0D" w:rsidRPr="000F1E1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20%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55D982D" w14:textId="56C540AF" w:rsidR="00CA540F" w:rsidRDefault="00CA540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</w:t>
      </w:r>
      <w:r w:rsidRPr="002D03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E77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диный государственный реестр юридических лиц.</w:t>
      </w:r>
    </w:p>
    <w:p w14:paraId="4E9123E4" w14:textId="461467A1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Задолженность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Сумму займа и начисленные проценты.</w:t>
      </w:r>
    </w:p>
    <w:p w14:paraId="30A3D5DA" w14:textId="77777777" w:rsidR="000F1E13" w:rsidRDefault="00B319D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Конфиденциальная 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информацию: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о предмете настоящего Договора, а также переговорах относительно Договора; и (б) полученную или приобретенную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Раскрывающего лица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заключения и/или исполнения настоящего Договора, в том числе, техническую, коммерческую и финансовую информацию, включая информацию, касающуюся работников, ценообразования, продукции, операционной деятельности, процессов, бизнес-планов или намерений, интеллектуальной собственности, коммерческой тайны, списков клиентов, конъюнктуры рынка, финансовых вопросов или состояния дел любой Стороны или ее аффилированных лиц. К Конфиденциальной информации не относится информация, которая: (а) является или становится общедоступной не в результате нарушения условий настоящего Договора о конфиденциальности; (б) в отношении которой Сторона может доказать, что такая информация была ей известна до ее раскрытия; (в) была раскрыта получающей Стороне и/или ее аффилированным лицам третьим лицом без нарушения обязательства о соблюдении конфиденциальности, принятого перед Раскрывающим лицом, о котором было известно получающей Стороне; или (г) раскрыта получающей информацию Стороне и/или ее аффилированными лицами независимо от ее раскрытия Раскрывающим лицом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12C397" w14:textId="328B9A1B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Постинвестиционная</w:t>
      </w:r>
      <w:proofErr w:type="spellEnd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сумму оценки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привлечением финансирования и размер дополнительного вклада инвестора. В иностранной практике венчурного финансирования этот термин также известен как “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post-money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valuation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p w14:paraId="4859DA30" w14:textId="7DBD66CE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Последний день займа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последний день срока займа</w:t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определенного в соответствии с пунктом 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_Ref81403895 \r \h </w:instrTex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EF0B8D" w14:textId="33C11788" w:rsidR="00E540ED" w:rsidRDefault="00E540ED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Потолок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максимальную оценку Заемщика для целей конвертации в размере </w:t>
      </w:r>
      <w:r w:rsidRPr="0083614F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5 000 000 рублей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E8ED945" w14:textId="553AF743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</w:t>
      </w:r>
      <w:r w:rsidR="00D00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нвестиционная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оценку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учета дополнительного вклада инвестора. В иностранной практике венчурного финансирования этот термин также известен как “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pre-money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valuation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3744D9" w:rsidRPr="004B2C79" w14:paraId="20A89EE5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6960C" w14:textId="77777777" w:rsidR="003744D9" w:rsidRPr="004B2C7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6C098A07" w14:textId="5C153C67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Оценка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бщества на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определенную дату 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составляет 10 000 000 рублей, а его уставный капитал составляет 10 000 рублей.</w:t>
            </w:r>
          </w:p>
          <w:p w14:paraId="45012EF8" w14:textId="2698160B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следующем раунде финансирования инвестор – третье лицо оценивает, что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нвестиционная оценка Общества составляет 40 000 000 рублей, и желает вложить 20 000 000 рублей через процедуру увеличения уставного капитала за счет дополнительног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выпуска голосующих акций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(ст. </w:t>
            </w:r>
            <w:r w:rsidR="006966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ФЗ «О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 </w:t>
            </w:r>
            <w:r w:rsidR="006966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АО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).</w:t>
            </w:r>
          </w:p>
          <w:p w14:paraId="5973C6D2" w14:textId="38F90DAA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приведенном примере </w:t>
            </w:r>
            <w:proofErr w:type="spellStart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нвестиционная</w:t>
            </w:r>
            <w:proofErr w:type="spellEnd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оценка Общества составляет 60 000 000 рублей (как сумма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нвестиционной оценки и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размещения акций инвестору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а доля инвестора в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голосующих акциях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Общества –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33,33% (доля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цены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размещения акций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размере 20 000 000 от </w:t>
            </w:r>
            <w:proofErr w:type="spellStart"/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Постинвестиционной</w:t>
            </w:r>
            <w:proofErr w:type="spellEnd"/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оценки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60 000 000).</w:t>
            </w:r>
          </w:p>
          <w:p w14:paraId="14371836" w14:textId="490EF749" w:rsidR="003744D9" w:rsidRPr="0083614F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Таким образом, вклад инвестора в уставный капитал должен составить 5 000 рублей и рассчитывается, как (10 000 / (</w:t>
            </w:r>
            <w:proofErr w:type="gramStart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100% – 33,33%</w:t>
            </w:r>
            <w:proofErr w:type="gramEnd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– 10 000).</w:t>
            </w:r>
          </w:p>
        </w:tc>
      </w:tr>
    </w:tbl>
    <w:p w14:paraId="22394AF3" w14:textId="176C67A9" w:rsidR="003744D9" w:rsidRDefault="003744D9" w:rsidP="0083614F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138D1" w14:textId="399971CB" w:rsidR="00B319DF" w:rsidRDefault="00B319DF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Раскрывающее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Сторону, раскрывающую Конфиденциальную информацию, а также ее аффилированные лица.</w:t>
      </w:r>
    </w:p>
    <w:p w14:paraId="681006B6" w14:textId="1391C1E6" w:rsidR="00CF075B" w:rsidRDefault="00CF075B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D53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Заемщиком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третьим лицом документов, содержащих юридически действительные обязательства третьего лица предоставить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а Заемщика – принять такое финансирование,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процедуру увеличения уставного капитала за счет дополнительного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выпуска акций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(ст.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«О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95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договора конвертируемого займа или иными способами, которые имеют аналогичный экономический эффект.</w:t>
      </w:r>
    </w:p>
    <w:p w14:paraId="1D92BF70" w14:textId="6DD121C0" w:rsidR="00314F9A" w:rsidRDefault="00F355A6" w:rsidP="009D7800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е(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D7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подписание Заемщиком с третьим лицом документов, содержащих юридически действительные обязательства Заемщика и третьего лица 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1C7000F" w14:textId="21A61237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отчуждени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или выдач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исключительной лицензии в отношении существенных активов Заемщика в пользу третьего лица;</w:t>
      </w:r>
    </w:p>
    <w:p w14:paraId="6A5A0727" w14:textId="52D97901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реорганизаци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юридического лица Заемщика;</w:t>
      </w:r>
    </w:p>
    <w:p w14:paraId="1AD15CDB" w14:textId="425DB579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юридического лица Заемщика;</w:t>
      </w:r>
    </w:p>
    <w:p w14:paraId="7F8BB8F9" w14:textId="1E452B25" w:rsidR="00314F9A" w:rsidRPr="000C463E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отчуждени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голосующих акций Заемщика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принадлежащих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одному или нескольким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акционерам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тот момент, в результате чего более 50</w:t>
      </w:r>
      <w:r w:rsidRPr="000C4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голосующих акций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будут принадлежать лицам, которые не были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до осуществления такой сделки.</w:t>
      </w:r>
    </w:p>
    <w:p w14:paraId="30AA3BA8" w14:textId="24451C7C" w:rsidR="00CA3C16" w:rsidRDefault="00CA3C16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</w:pPr>
      <w:r w:rsidRPr="00FF5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F5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умма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</w:t>
      </w:r>
      <w:r w:rsidRPr="00CA3C1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 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val="en-US" w:eastAsia="ru-RU"/>
        </w:rPr>
        <w:t> 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000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.</w:t>
      </w:r>
    </w:p>
    <w:p w14:paraId="0A6295DF" w14:textId="18C3D2F1" w:rsidR="006453B5" w:rsidRPr="002D034C" w:rsidRDefault="00E77062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ФЗ «Об </w:t>
      </w:r>
      <w:r w:rsidR="00EB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едеральный закон №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208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-ФЗ «Об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акционерных обществах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26 декабря 1995 г.</w:t>
      </w:r>
    </w:p>
    <w:p w14:paraId="572B129A" w14:textId="7DFB8360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в собственность </w:t>
      </w:r>
      <w:r w:rsidR="00CA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Сумму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Заемщик обязуется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вернуть </w:t>
      </w:r>
      <w:r w:rsidR="00CA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Задолженность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срока займа или</w:t>
      </w:r>
      <w:r w:rsidR="00D7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453B5" w:rsidRP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выбору Заимодавца</w:t>
      </w:r>
      <w:r w:rsidR="00D7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B46" w:rsidRPr="00913BB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обыкновенные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акции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номинальной стоимостью </w:t>
      </w:r>
      <w:r w:rsidR="00913BBC" w:rsidRPr="00913BB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100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увеличения уставного капитала Заемщика за счет вклада Заимодавца, в счет внесения которого будет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 зачет Задолженности в полном объеме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A75735D" w14:textId="7115F349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 денежных средств</w:t>
      </w:r>
      <w:r w:rsidR="00833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открытие лицевого счета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Сумму займа путем </w:t>
      </w:r>
      <w:r w:rsidR="00D7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перечисления на банковский счет Заемщика в течение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 рабочих дней</w:t>
      </w:r>
      <w:r w:rsidRPr="00C80923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заключения. 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этот же срок Заимодавец открывает лицевой счет у </w:t>
      </w:r>
      <w:r w:rsidR="0083382D" w:rsidRP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83382D" w:rsidRP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реестра акционеров Заемщика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который будут зачислены акции Заемщика.</w:t>
      </w:r>
    </w:p>
    <w:p w14:paraId="76D79352" w14:textId="59C85D3C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59020492"/>
      <w:bookmarkStart w:id="1" w:name="_Ref81403895"/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Срок займа и проценты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займа составляет 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год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а</w:t>
      </w:r>
      <w:r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предоставления финансирования</w:t>
      </w:r>
      <w:r w:rsidR="00C8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Сумму займа начисляются и подлежат уплате проценты в размере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10%</w:t>
      </w:r>
      <w:r w:rsidR="002D2702"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год, которые исчисляются с Даты предоставления финансирования.</w:t>
      </w:r>
      <w:bookmarkEnd w:id="0"/>
      <w:r w:rsidR="00CF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Проценты выплачиваются </w:t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Последний день</w:t>
      </w:r>
      <w:r w:rsidR="00CF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займа.</w:t>
      </w:r>
      <w:bookmarkEnd w:id="1"/>
    </w:p>
    <w:p w14:paraId="7D23EF08" w14:textId="3E11C299" w:rsidR="00A32176" w:rsidRPr="00B017B1" w:rsidRDefault="00313125" w:rsidP="00B017B1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Ref75710512"/>
      <w:bookmarkStart w:id="3" w:name="_Ref59019799"/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Уведомление 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Заемщик обязан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уведомить 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модавца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планируемом наступлении События ликвидности 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Раунд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финансирования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менее, чем за </w:t>
      </w:r>
      <w:r w:rsidR="00A3217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таком уведомлении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 w:rsidRP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Заемщик подтверждает свое волеизъявление на увеличение уставного капитала во исполнение Договора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акций, подлежащих размещению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размещения акций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Задолженности, с расчетом такой Задолженности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наступает Событие ликвидности из пункта 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_Ref59708055 \r \h </w:instrTex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также указывается выручка Заемщика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Раунд финансирования или Событие ликвидности не наступают в течение срока займа, то д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ополнительно к сведениям, указанным в настоящем пункте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_Ref75710539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 сообщает Заимодавцу свою выручку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направляет уведомление в Последний день займа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2"/>
    </w:p>
    <w:p w14:paraId="085D15DF" w14:textId="399F22DF" w:rsidR="00314F9A" w:rsidRPr="00F9498C" w:rsidRDefault="00314F9A" w:rsidP="00B017B1">
      <w:pPr>
        <w:numPr>
          <w:ilvl w:val="0"/>
          <w:numId w:val="2"/>
        </w:numPr>
        <w:tabs>
          <w:tab w:val="clear" w:pos="720"/>
        </w:tabs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Ref597089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уведомления о планируемом наступлении Раунда финансирования</w:t>
      </w:r>
      <w:bookmarkStart w:id="5" w:name="_Hlk75711320"/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 w:rsidR="00B63B58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="00B63B58"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держателю реестра акционеров Заемщика</w:t>
      </w:r>
      <w:r w:rsidR="00B63B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требованием о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размещении в его пользу акций Заемщика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которое содержит сведения, позволяющие идентифицировать Заемщика,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реквизиты лицевого счета, на который должны быть зачислены акции Заемщика,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дублирует сведения, указанные в пункте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содержит отказ Заимодавца от размещения в его пользу части акций (как это предусмотрено пунктом 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37.8 положения Банка России от 19.12.2019 № 706-П </w:t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стандартах эмиссии ценных бумаг</w:t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 Заемщика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будут принадлежать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рав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бо̀льше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следующих величин в процент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выражении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в любом случае не может быть больше </w:t>
      </w:r>
      <w:r w:rsidR="00F9498C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F9498C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всех голосующих акций Заемщика</w:t>
      </w:r>
      <w:r w:rsidR="00A03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(так как Заимодавец получает акции с учетом последующего размытия его доли из-за прихода новых акционеров в результате проведения Раунда финансирования, то эта величина может быть больше на момент конвертации Заимодавца, но с учетом, что она не будет больше </w:t>
      </w:r>
      <w:r w:rsidR="00A03269" w:rsidRPr="00A032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A03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всех голосующих акций Заемщика по итогам Раунда финансирования)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что на Дату заключения составляет </w:t>
      </w:r>
      <w:r w:rsidR="00A63A69" w:rsidRPr="00A63A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20 000</w:t>
      </w:r>
      <w:r w:rsidR="00A63A69" w:rsidRPr="00A63A69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штук (</w:t>
      </w:r>
      <w:r w:rsidR="00EC4E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любом случае уставный капитал увеличивается на номинальную величину, а остаток отражается на счете 83 «Добавочный капитал»</w:t>
      </w:r>
      <w:r w:rsidR="00F9498C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4"/>
    </w:p>
    <w:p w14:paraId="761CCB9F" w14:textId="24EE2F5A" w:rsidR="00314F9A" w:rsidRDefault="00D527AD" w:rsidP="00314F9A">
      <w:pPr>
        <w:pStyle w:val="a7"/>
        <w:numPr>
          <w:ilvl w:val="0"/>
          <w:numId w:val="16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Ref597375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нвестиционной оценке 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 на таком раунде финансирования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Дисконта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End w:id="6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60A861E3" w14:textId="77777777" w:rsidTr="000D5319">
        <w:trPr>
          <w:trHeight w:val="86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C9B22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5327FEDE" w14:textId="41C2A5C2" w:rsidR="00DC552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1 000 000 рублей, а 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нвестиционная </w:t>
            </w: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Заемщика на этом раунде финансирования составляет 5 000 000 рублей, то доля Заимодавца по итогам конвертации должна быть равна 25%.</w:t>
            </w:r>
          </w:p>
          <w:p w14:paraId="25FEC40F" w14:textId="151F681F" w:rsidR="00DC552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1 000 000 / (5 000 000 * (</w:t>
            </w:r>
            <w:proofErr w:type="gramStart"/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 – </w:t>
            </w:r>
            <w:r w:rsidR="00D2637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0.2</w:t>
            </w:r>
            <w:proofErr w:type="gramEnd"/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1 000 000 / 4 000 000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25%</w:t>
            </w:r>
          </w:p>
          <w:p w14:paraId="6398314E" w14:textId="406962C4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Дисконта в 20% оценка Заемщика для целей конвертации равна 4 000 000 рублей.</w:t>
            </w:r>
          </w:p>
        </w:tc>
      </w:tr>
    </w:tbl>
    <w:p w14:paraId="36C03887" w14:textId="77B9564E" w:rsidR="00314F9A" w:rsidRDefault="00D527AD" w:rsidP="00314F9A">
      <w:pPr>
        <w:pStyle w:val="a7"/>
        <w:numPr>
          <w:ilvl w:val="0"/>
          <w:numId w:val="16"/>
        </w:numPr>
        <w:spacing w:before="240"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Ref5973756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962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Потолку оценки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7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2CCEE334" w14:textId="77777777" w:rsidTr="0083614F">
        <w:trPr>
          <w:trHeight w:val="159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55E93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0D5B6103" w14:textId="77777777" w:rsidR="001A740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Если сумма Задолженности на момент конвертации составляет 1 000 000 рублей, а оценка Заемщика на этом раунде финансирования составляет 10 000 000 рублей, то доля Заимодавца по итогам конвертации должна быть равна 20%.</w:t>
            </w:r>
          </w:p>
          <w:p w14:paraId="38141EE1" w14:textId="6B5FEFFC" w:rsidR="001A740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(1 000 000 / 5 000 000) * 100% = 20%</w:t>
            </w:r>
          </w:p>
          <w:p w14:paraId="0B49E47A" w14:textId="05A578B3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Потолка для конвертации оценка Заемщика для целей конвертации равна 5 000 000 рублей.</w:t>
            </w:r>
          </w:p>
        </w:tc>
      </w:tr>
    </w:tbl>
    <w:p w14:paraId="3C326414" w14:textId="77709E74" w:rsidR="00314F9A" w:rsidRDefault="00314F9A" w:rsidP="008361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0C36A" w14:textId="0293CF8D" w:rsidR="00024603" w:rsidRPr="00D832CE" w:rsidRDefault="00C86802" w:rsidP="00D832CE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Ref59708053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События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Заимодавцем</w:t>
      </w:r>
      <w:r w:rsidR="00CB74F6"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уведомления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планируемом наступлении События ликвидности Заимодавец </w:t>
      </w:r>
      <w:r w:rsidRPr="00D832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 по своему усмотрению</w:t>
      </w:r>
      <w:r w:rsidRPr="00D832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8"/>
    </w:p>
    <w:p w14:paraId="2F72AC15" w14:textId="0BF43641" w:rsidR="00024603" w:rsidRDefault="00866135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Ref5970805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реорганизации юридического лица Заемщика, продажи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принадлежащих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на тот момент, в результате чего более 50%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голосующих акций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будут принадлежать лицам, которые не были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до осуществления такой сделки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акции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_Ref59708973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или</w:t>
      </w:r>
      <w:bookmarkEnd w:id="9"/>
    </w:p>
    <w:p w14:paraId="2DEACFF2" w14:textId="63194604" w:rsidR="00B70920" w:rsidRPr="000D5319" w:rsidRDefault="004E6174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_Ref5999684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ликвидации юридического лица Заемщика,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или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или выдач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исключительной лицензии в отношении существенных активов Заемщика в пользу третьего лица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дополнительные акции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или</w:t>
      </w:r>
      <w:bookmarkEnd w:id="10"/>
    </w:p>
    <w:p w14:paraId="418A7580" w14:textId="5E94EA34" w:rsidR="00024603" w:rsidRDefault="004E3E25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_Ref8140190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любом из случаев, указанных в пунктах (а) 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выше, п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отребовать д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осрочного возврата Задолженности Заимодавцу путем перечисления всей суммы Задолженности на банковский счет Заимодавца в течение 30 календарных дней с дат</w:t>
      </w:r>
      <w:r w:rsidR="00AD2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получения Заемщико</w:t>
      </w:r>
      <w:r w:rsidR="00AD2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1"/>
    </w:p>
    <w:p w14:paraId="367D33EC" w14:textId="23946C35" w:rsidR="00C86802" w:rsidRDefault="005D1E04" w:rsidP="0083614F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_Ref59707570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возврата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течение срока займа не наступает Раунд финансирования или Событие ликвидности, то Заимодавец 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5A5CC1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5CC1" w:rsidRPr="000A4DD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календарных дней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получения уведомления от Заемщика, как предусмотрено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вправе по своему усмотрению:</w:t>
      </w:r>
      <w:bookmarkEnd w:id="12"/>
    </w:p>
    <w:p w14:paraId="24EB0F05" w14:textId="1109E4BB" w:rsidR="005D1E04" w:rsidRDefault="005D1E04" w:rsidP="0083614F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_Ref5970796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акции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условиях</w:t>
      </w:r>
      <w:r w:rsidR="0074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пункте 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Договора; или</w:t>
      </w:r>
      <w:bookmarkEnd w:id="13"/>
    </w:p>
    <w:p w14:paraId="1A957FD3" w14:textId="0B583AEE" w:rsidR="005D1E04" w:rsidRPr="0083614F" w:rsidRDefault="0083382D" w:rsidP="0083382D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_Ref5970797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возврата Задолженности в течение 30 календарных дней с Последнего дня займа</w:t>
      </w:r>
      <w:bookmarkStart w:id="15" w:name="_Ref59707412"/>
      <w:bookmarkEnd w:id="14"/>
      <w:r w:rsidR="0074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Проценты за пользование займом и проценты за пользование чужими денежными средствами за этот период не начисляются.</w:t>
      </w:r>
      <w:r w:rsid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своем требовании Заимодавец также предоставляет </w:t>
      </w:r>
      <w:r w:rsidR="00305ACE" w:rsidRP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отказ от размещения в его пользу </w:t>
      </w:r>
      <w:r w:rsid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подлежавших размещению </w:t>
      </w:r>
      <w:r w:rsidR="00305ACE" w:rsidRP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акций (как это предусмотрено </w:t>
      </w:r>
      <w:r w:rsidR="00305ACE" w:rsidRP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пунктом 37.8 положения Банка России № 706-П «О стандартах эмиссии ценных бумаг»</w:t>
      </w:r>
      <w:r w:rsidR="009A332E" w:rsidRPr="009A3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3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 декабря 2019 г.</w:t>
      </w:r>
      <w:r w:rsidR="00305ACE" w:rsidRPr="00305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331535D3" w14:textId="467DC13A" w:rsidR="00CA19C2" w:rsidRDefault="009063AB" w:rsidP="00CA19C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_Ref59734994"/>
      <w:bookmarkStart w:id="17" w:name="_Ref7571053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Альтернативная </w:t>
      </w:r>
      <w:r w:rsidR="00C86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конвертация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5"/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случаях, 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пунктах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_Ref59708055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_Ref59996843 \r \h </w:instrTex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(b)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_Ref59707961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держателю реестра акционеров Заемщика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требованием о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размещении в его пользу 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акций Заемщика, которое содержит сведения, позволяющие идентифицировать Заемщика, реквизиты лицевого счета, на который должны быть зачислены акции Заемщика, дублирует сведения, указанные в пункте 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отказ Заимодавца от размещения в его пользу части акций (как это предусмотрено пунктом 37.8 положения Банка России от 19.12.2019 № 706-П «О стандартах эмиссии ценных бумаг»).</w:t>
      </w:r>
      <w:bookmarkStart w:id="18" w:name="_Ref59455924"/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5991FC" w14:textId="56BB726A" w:rsidR="002D4F6A" w:rsidRPr="00CA19C2" w:rsidRDefault="00CA19C2" w:rsidP="00CA19C2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доля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 Заемщика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будут принадлежать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выраженному в процентах значению, рассчитанному по формуле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в любом случае не может быть больше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всех голосующих акций Заемщика, что на Дату заключения составляет </w:t>
      </w:r>
      <w:r w:rsidRPr="00A63A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20 000</w:t>
      </w:r>
      <w:r w:rsidRPr="00A63A69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штук (в любом случае уставный капитал увеличивается на номинальную величину, а остаток отражается на счете 83 «Добавочный капитал»</w:t>
      </w:r>
      <w:r w:rsidR="00CF4410" w:rsidRPr="00CA19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2D4F6A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16"/>
      <w:bookmarkEnd w:id="17"/>
      <w:bookmarkEnd w:id="18"/>
    </w:p>
    <w:p w14:paraId="0D424F2F" w14:textId="77777777" w:rsidR="002D4F6A" w:rsidRPr="00A91542" w:rsidRDefault="002D4F6A" w:rsidP="007C7D02">
      <w:pPr>
        <w:spacing w:after="24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 = 1,2 * </w:t>
      </w: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Loan</w:t>
      </w:r>
      <w:proofErr w:type="spellEnd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 (4 * </w:t>
      </w: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Revenue</w:t>
      </w:r>
      <w:proofErr w:type="spellEnd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14:paraId="43E4815C" w14:textId="77777777" w:rsidR="002D4F6A" w:rsidRPr="00A91542" w:rsidRDefault="002D4F6A" w:rsidP="0083614F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3043849C" w14:textId="051C204C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выраженн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процентах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акций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модавца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всех голосующих акций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9431483" w14:textId="27D52195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Loan</w:t>
      </w:r>
      <w:proofErr w:type="spellEnd"/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сумма Задолженности (включая Сумм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займа и начисленные проценты);</w:t>
      </w:r>
    </w:p>
    <w:p w14:paraId="0D76B624" w14:textId="77777777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Revenue</w:t>
      </w:r>
      <w:proofErr w:type="spellEnd"/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выручка Заемщика за последние </w:t>
      </w:r>
      <w:r w:rsidRPr="00FF3734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12 (двенадцать) месяцев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предшествующие конвертации, в соответствии с бухгалтерской отчетностью.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2D4F6A" w:rsidRPr="004B2C79" w14:paraId="35C00F9B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640AC" w14:textId="77777777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225BC5CD" w14:textId="6A9E7EC2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8680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100 рублей, а выручка Заемщика за предыдущий год составила 500 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рублей, то дол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акций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Заимодавца 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 всех голосующих акций 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Заемщика сразу после конвертации долж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быть рав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6%.</w:t>
            </w:r>
          </w:p>
        </w:tc>
      </w:tr>
    </w:tbl>
    <w:p w14:paraId="4549E927" w14:textId="6B444245" w:rsidR="00CA540F" w:rsidRDefault="00CA19C2" w:rsidP="00BD58A9">
      <w:pPr>
        <w:numPr>
          <w:ilvl w:val="0"/>
          <w:numId w:val="2"/>
        </w:numPr>
        <w:spacing w:before="240"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_Ref59458338"/>
      <w:bookmarkStart w:id="20" w:name="_Ref59020180"/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Регистрация выпуска и </w:t>
      </w:r>
      <w:r w:rsidR="00CA5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 w:rsidR="0024729E" w:rsidRPr="00B06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10 календарных дней с Даты заключения Заемщик обязан подать в Банк России все необходимые документы на регистрацию дополнительного выпуска акций. Такая регистрация и передача всех необходимых документов держателю реестра акционеров Заемщика не должны занять более 30 рабочих дней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A592B" w:rsidRP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случая, когда не по вине Заемщика Банк России не регистрирует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дополнительный выпуск акций)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2 рабочих дней с даты получения держателем реестра акционеров Заемщика документов о регистрации дополнительного выпуска акций держатель реестра акционеров Заемщика 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 в ЕГРЮЛ сведения о Договоре. Для исключения из ЕГРЮЛ сведений о наличии заключенного Заемщиком Договора</w:t>
      </w:r>
      <w:r w:rsidR="004E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любая Сторона в течение 14 рабочих дней после прекращения обязательств по Договору вправе обратиться в ЕГРЮЛ с соответствующими документами, подтверждающими такое прекращение. </w:t>
      </w:r>
    </w:p>
    <w:p w14:paraId="6DC57F2E" w14:textId="2AF31D0A" w:rsidR="00B2487B" w:rsidRPr="002D034C" w:rsidRDefault="00F02424" w:rsidP="002D034C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_Ref59456408"/>
      <w:bookmarkEnd w:id="19"/>
      <w:bookmarkEnd w:id="20"/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Несовершение конвертации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течение 60 календарных дней с даты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обращения Заимодавца с требованием к держателю реестра акционеров Заемщика о </w:t>
      </w:r>
      <w:r w:rsidR="001A592B" w:rsidRP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размещении в его пользу акций Заемщика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любому из оснований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предусмотренных Договором,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регистрация дополнительного выпуска акций не будет завершена или 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Задолженность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будет конвертирована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акции, размещенные Заимодавцу,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обстоятельствам, которы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зависят от воли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вправе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 зависимости от вины 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22" w:name="_Ref75712187"/>
      <w:bookmarkStart w:id="23" w:name="_Ref59736108"/>
      <w:bookmarkEnd w:id="21"/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(кроме случая, когда не по вине Заемщика Банк России не регистрирует уведомление об итогах дополнительного выпуска акций Заемщика)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требовать немедленного исполнения обязательства по возврату Задолженности, при этом на Сумму займа подлежат уплате проценты в размере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 (тридцать процентов</w:t>
      </w:r>
      <w:r w:rsidR="00771B40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)</w:t>
      </w:r>
      <w:r w:rsidR="00771B40" w:rsidRPr="002D034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год, которые исчисляются с Даты предоставления финансирования (вместо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процентно</w:t>
      </w:r>
      <w:r w:rsidR="000A4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ставки, предусмотренной в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пункте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_Ref59020492 \r \h </w:instrTex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22"/>
      <w:bookmarkEnd w:id="23"/>
    </w:p>
    <w:p w14:paraId="25775070" w14:textId="6E711713" w:rsidR="00305ACE" w:rsidRPr="00305ACE" w:rsidRDefault="00305ACE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_Ref59019612"/>
      <w:r w:rsidRPr="00305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Нарушение обязанности предоставить отказ от размещения акций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течение 30 календарных дней с момента истечения срока, в течение которого Заимодавец должен был обратиться с требованием к держателю реестра акционеров Заемщика о размещении в его пользу акций Заемщика по любому из оснований, предусмотренных договором, </w: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в течение 30 календарных дней с даты заявления требования о досрочном возврате Задолженности в соответствии с пунктом </w: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_Ref81401906 \r \h </w:instrTex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(c)</w:t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701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в течение 30 календарных дней с Последнего дня займа Заимодавец не предоставил отказ от размещения в его пользу всех или части подлежавших размещению акций Заемщика, Заемщик вправе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отказаться от размещения акций на основании статьи 24.2 </w:t>
      </w:r>
      <w:r w:rsidR="003A5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едерального закона № 39-ФЗ «О рынке ценных бумаг» </w:t>
      </w:r>
      <w:r w:rsidR="00562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22 апреля 1996 г. 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соответственно приостановить возврат Задолженности Заимодавцу. Заимодавец считается находящимся в просрочке кредитора (ст</w:t>
      </w:r>
      <w:r w:rsidR="004C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406 </w:t>
      </w:r>
      <w:r w:rsidR="004C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ГК РФ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2694C89" w14:textId="098DF186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Согласие 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 обязуется обеспечить, что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акционеры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(как текущие, так и будущие)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будут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предварительное письменное согласие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24"/>
    </w:p>
    <w:p w14:paraId="13CB011F" w14:textId="286976F9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отчуждение любым способом принадлежащ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</w:t>
      </w:r>
    </w:p>
    <w:p w14:paraId="6DF6C445" w14:textId="65DF1D40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одобрение совершения сделок по отчуждению каких-либо активов Заемщика стоимостью свыше </w:t>
      </w:r>
      <w:r w:rsidRPr="00744B51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500 000</w:t>
      </w:r>
      <w:r w:rsidRPr="00744B51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> 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и сдел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отчуждению любых объектов интеллектуальной собственности Заемщика.</w:t>
      </w:r>
    </w:p>
    <w:p w14:paraId="2ED48C3F" w14:textId="450FB958" w:rsidR="00F02424" w:rsidRPr="00A91542" w:rsidRDefault="00F02424" w:rsidP="007C7D02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нарушения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или несколькими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обязательства по получению предварительного согласия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модавца,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модавец вправе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своему усмотрению заявить требовани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предусмотренн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_Ref75712187 \r \h </w:instrTex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14:paraId="7DE0EE95" w14:textId="0476B058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заключен в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простой письменной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форме.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Любые изменения к Договору должны быть предварительно одобрены 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согласием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собрания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Заемщика, данн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единогласно всеми его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92DB4D4" w14:textId="70D6EB49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Каждая Сторона должна сохранять конфиденциальность и не раскрывать третьим лицам без предварительного письменного согласия других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Сторон, а также не использовать в каких-либо целях, не связанных с предметом настоящего Договора, 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Конфиденциальную</w:t>
      </w:r>
      <w:r w:rsidR="00B319DF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7EF5AB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Любое уведомление в соответствии с настоящим Договором должно быть оформлено в письменном виде и подписано уполномоченным лицом. Все заявления, уведомления, извещения, требования или иные юридически значимые сообщения, с которыми закон или Договор связывает правовые последствия, могут быть направлены другой Стороне посредством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электронной почты, факсимильной, почтовой или другой связи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Стороны признают юридическую силу всех документов, направленных друг другу посредством электронный почты, факсимильной, почтовой или другой связи или электронной почты при условии надлежащего их оформления и возможности однозначно судить о времени, адресате, адресанте, содержании и факте получения.</w:t>
      </w:r>
    </w:p>
    <w:tbl>
      <w:tblPr>
        <w:tblW w:w="8631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5"/>
        <w:gridCol w:w="4316"/>
      </w:tblGrid>
      <w:tr w:rsidR="00CA540F" w:rsidRPr="00A91542" w14:paraId="5D77AF8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06A373FF" w14:textId="3A307F38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модавец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7A5AD11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Заемщик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A540F" w:rsidRPr="00A91542" w14:paraId="74995BB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53966E37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proofErr w:type="spellEnd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D0F2473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proofErr w:type="spellEnd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CA540F" w:rsidRPr="00A91542" w14:paraId="02A7842F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A612DF0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D2C26BB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</w:tbl>
    <w:p w14:paraId="6F86BCD0" w14:textId="77777777" w:rsidR="00F02424" w:rsidRPr="00A91542" w:rsidRDefault="00F02424" w:rsidP="00BC37CF">
      <w:pPr>
        <w:spacing w:after="0" w:line="240" w:lineRule="auto"/>
        <w:ind w:left="56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066B2E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Применимое право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Договор регулируетс</w:t>
      </w:r>
      <w:r w:rsidR="00432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правом Российской Федерации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4A989B" w14:textId="0874D51E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Разрешение споров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споры, разногласия или требования, возникающие из Договора или в связи с ним, в том числе касающиеся его толкования, исполнения, нарушения, прекращения или недействительности, которые не были разрешены в претензионном порядке в течение 30 дней с момента направления претензии, подлежит разрешению в </w:t>
      </w:r>
      <w:r w:rsidR="007C7D02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арбитражном суде по месту нахождения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3F454A" w14:textId="323541C1" w:rsidR="009826BD" w:rsidRPr="00711936" w:rsidRDefault="009826BD" w:rsidP="00711936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9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Правопреемники и уступка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 одна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права на уступку любых своих прав либо передачу каких-либо из своих обязанностей по Договору без предварительного письменного согласия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вправе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дальнейшем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договориться, что при переходе прав Заимодавца по Договору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кредитор будет вправе требовать от Заемщика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его пользу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дополнительных акций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Такая уступка будет требовать предварительного согласия общего собрания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Заемщика, данного единогласно всеми его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CCD446E" w14:textId="34356A64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характер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представляет собой </w:t>
      </w:r>
      <w:r w:rsidRP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исчерпывающее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 и договоренность Сторон и заменяет собой все предшествующие обсуждения, заверения, условия и договоренности по предмету Договора.</w:t>
      </w:r>
    </w:p>
    <w:p w14:paraId="79C70CCB" w14:textId="76155EB0" w:rsidR="00F02424" w:rsidRPr="00A91542" w:rsidRDefault="0070413E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Сальваторская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оговорка</w:t>
      </w:r>
      <w:r w:rsidR="00F0242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Недействительность или невозможность принудительного исполнения любого положения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оговора </w:t>
      </w:r>
      <w:r w:rsidR="004C5A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полностью или частично 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ограничивают действительност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возможност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принудительного исполнения других положений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оговора.</w:t>
      </w:r>
    </w:p>
    <w:p w14:paraId="6AA1DC74" w14:textId="2C5F1F0B" w:rsidR="00C132BB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Толкование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иное не следует из контекста, в настоящем Договоре: (а) наименования приложений, разделов и пунктов приводятся исключительно для информации и не могут быть использованы для его толкования; (б) любая ссылка на какое-либо лицо подразумевает также (в зависимости от обстоятельств) его </w:t>
      </w:r>
      <w:r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правопреемников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разрешенных цессионариев; и (в) слова «включает», «включая», «в том числе» и «в частности» приводятся в целях указания на частные случаи общего правила и подлежат толкованию без ограничений перечисленного за ними.</w:t>
      </w:r>
    </w:p>
    <w:p w14:paraId="5836A0AB" w14:textId="77777777" w:rsidR="008577B9" w:rsidRPr="008577B9" w:rsidRDefault="008577B9" w:rsidP="008577B9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C16832" w14:textId="7B2A99E7" w:rsidR="00F02424" w:rsidRPr="008577B9" w:rsidRDefault="00F02424" w:rsidP="008577B9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СТРАНИЦА С ПОДПИСЯМИ СЛЕДУЕТ ДАЛЕЕ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7348DF" w:rsidRPr="00A91542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14:paraId="60C715F6" w14:textId="77777777" w:rsidR="00F02424" w:rsidRPr="00A91542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ПОДПИСИ СТОРОН </w:t>
      </w:r>
    </w:p>
    <w:p w14:paraId="50A2695D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0FD50" w14:textId="4901391D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</w:p>
    <w:p w14:paraId="7DF2A87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1351B1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4D5C637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C60DBF1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5AE29539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A278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</w:p>
    <w:p w14:paraId="71FCAB9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5506D9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798925A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1D77464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3D0B38B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D9770" w14:textId="77777777" w:rsidR="006A604C" w:rsidRPr="00A91542" w:rsidRDefault="006A604C" w:rsidP="007C7D0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A604C" w:rsidRPr="00A91542" w:rsidSect="003B49CD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C3C5" w14:textId="77777777" w:rsidR="00824E24" w:rsidRDefault="00824E24" w:rsidP="00F02424">
      <w:pPr>
        <w:spacing w:after="0" w:line="240" w:lineRule="auto"/>
      </w:pPr>
      <w:r>
        <w:separator/>
      </w:r>
    </w:p>
  </w:endnote>
  <w:endnote w:type="continuationSeparator" w:id="0">
    <w:p w14:paraId="00C469DF" w14:textId="77777777" w:rsidR="00824E24" w:rsidRDefault="00824E24" w:rsidP="00F0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519853391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941107D" w14:textId="77777777" w:rsidR="00BB6406" w:rsidRDefault="00BB6406" w:rsidP="001E113B">
        <w:pPr>
          <w:pStyle w:val="a5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02274C3" w14:textId="77777777" w:rsidR="00BB6406" w:rsidRDefault="00BB64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790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7D20DDB9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72ED5F6E" w14:textId="77777777" w:rsidTr="006E0FE2">
      <w:tc>
        <w:tcPr>
          <w:tcW w:w="3081" w:type="dxa"/>
          <w:vAlign w:val="center"/>
        </w:tcPr>
        <w:p w14:paraId="70E70E2C" w14:textId="77777777" w:rsidR="003B49CD" w:rsidRPr="003B49CD" w:rsidRDefault="00824E24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-1542134455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6B179383" w14:textId="440FD4CE" w:rsidR="003B49CD" w:rsidRPr="003B49CD" w:rsidRDefault="003B49CD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  <w:r w:rsidRPr="003B49CD">
                <w:rPr>
                  <w:rStyle w:val="aa"/>
                </w:rPr>
                <w:fldChar w:fldCharType="begin"/>
              </w:r>
              <w:r w:rsidRPr="003B49CD">
                <w:rPr>
                  <w:rStyle w:val="aa"/>
                  <w:sz w:val="22"/>
                  <w:szCs w:val="22"/>
                </w:rPr>
                <w:instrText xml:space="preserve"> PAGE </w:instrText>
              </w:r>
              <w:r w:rsidRPr="003B49CD">
                <w:rPr>
                  <w:rStyle w:val="aa"/>
                </w:rPr>
                <w:fldChar w:fldCharType="separate"/>
              </w:r>
              <w:r w:rsidRPr="003B49CD">
                <w:rPr>
                  <w:rStyle w:val="aa"/>
                  <w:sz w:val="22"/>
                  <w:szCs w:val="22"/>
                </w:rPr>
                <w:t>1</w:t>
              </w:r>
              <w:r w:rsidRPr="003B49CD">
                <w:rPr>
                  <w:rStyle w:val="aa"/>
                </w:rPr>
                <w:fldChar w:fldCharType="end"/>
              </w:r>
            </w:p>
          </w:sdtContent>
        </w:sdt>
      </w:tc>
      <w:tc>
        <w:tcPr>
          <w:tcW w:w="3082" w:type="dxa"/>
          <w:vAlign w:val="center"/>
        </w:tcPr>
        <w:p w14:paraId="0282E73A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242ACE93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209D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4590CF32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0A91A81C" w14:textId="77777777" w:rsidTr="006E0FE2">
      <w:tc>
        <w:tcPr>
          <w:tcW w:w="3081" w:type="dxa"/>
          <w:vAlign w:val="center"/>
        </w:tcPr>
        <w:p w14:paraId="5F6998CA" w14:textId="77777777" w:rsidR="003B49CD" w:rsidRPr="003B49CD" w:rsidRDefault="00824E24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247088782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71176CE0" w14:textId="63A3A0D1" w:rsidR="003B49CD" w:rsidRPr="003B49CD" w:rsidRDefault="00824E24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</w:p>
          </w:sdtContent>
        </w:sdt>
      </w:tc>
      <w:tc>
        <w:tcPr>
          <w:tcW w:w="3082" w:type="dxa"/>
          <w:vAlign w:val="center"/>
        </w:tcPr>
        <w:p w14:paraId="2AB8B201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0514A66F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DFE6" w14:textId="77777777" w:rsidR="00824E24" w:rsidRDefault="00824E24" w:rsidP="00F02424">
      <w:pPr>
        <w:spacing w:after="0" w:line="240" w:lineRule="auto"/>
      </w:pPr>
      <w:r>
        <w:separator/>
      </w:r>
    </w:p>
  </w:footnote>
  <w:footnote w:type="continuationSeparator" w:id="0">
    <w:p w14:paraId="0FBC6381" w14:textId="77777777" w:rsidR="00824E24" w:rsidRDefault="00824E24" w:rsidP="00F02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336"/>
    <w:multiLevelType w:val="hybridMultilevel"/>
    <w:tmpl w:val="80B64AE0"/>
    <w:lvl w:ilvl="0" w:tplc="EC32D09C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7647B9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D508A7"/>
    <w:multiLevelType w:val="hybridMultilevel"/>
    <w:tmpl w:val="4E72EBC8"/>
    <w:lvl w:ilvl="0" w:tplc="8D4C15CA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7B46B5"/>
    <w:multiLevelType w:val="multilevel"/>
    <w:tmpl w:val="C9FE8D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8458D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C703A1"/>
    <w:multiLevelType w:val="hybridMultilevel"/>
    <w:tmpl w:val="B85C20E8"/>
    <w:lvl w:ilvl="0" w:tplc="65C253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B1C18"/>
    <w:multiLevelType w:val="hybridMultilevel"/>
    <w:tmpl w:val="D42C5AE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104B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5B7E8F"/>
    <w:multiLevelType w:val="hybridMultilevel"/>
    <w:tmpl w:val="2FB2289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4A82"/>
    <w:multiLevelType w:val="hybridMultilevel"/>
    <w:tmpl w:val="4E8E0A40"/>
    <w:lvl w:ilvl="0" w:tplc="D2A47F68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726322"/>
    <w:multiLevelType w:val="multilevel"/>
    <w:tmpl w:val="113C7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A101EA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93DC1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43714"/>
    <w:multiLevelType w:val="hybridMultilevel"/>
    <w:tmpl w:val="6464D790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482FAD"/>
    <w:multiLevelType w:val="hybridMultilevel"/>
    <w:tmpl w:val="5B3A4E4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C602B"/>
    <w:multiLevelType w:val="hybridMultilevel"/>
    <w:tmpl w:val="537E5BE2"/>
    <w:lvl w:ilvl="0" w:tplc="397A4D64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863690"/>
    <w:multiLevelType w:val="hybridMultilevel"/>
    <w:tmpl w:val="3886F278"/>
    <w:lvl w:ilvl="0" w:tplc="6D9A2AC6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B5768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C1B1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C7330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8338A6"/>
    <w:multiLevelType w:val="hybridMultilevel"/>
    <w:tmpl w:val="0F68707E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5"/>
  </w:num>
  <w:num w:numId="5">
    <w:abstractNumId w:val="11"/>
  </w:num>
  <w:num w:numId="6">
    <w:abstractNumId w:val="18"/>
  </w:num>
  <w:num w:numId="7">
    <w:abstractNumId w:val="12"/>
  </w:num>
  <w:num w:numId="8">
    <w:abstractNumId w:val="0"/>
  </w:num>
  <w:num w:numId="9">
    <w:abstractNumId w:val="2"/>
  </w:num>
  <w:num w:numId="10">
    <w:abstractNumId w:val="9"/>
  </w:num>
  <w:num w:numId="11">
    <w:abstractNumId w:val="21"/>
  </w:num>
  <w:num w:numId="12">
    <w:abstractNumId w:val="20"/>
  </w:num>
  <w:num w:numId="13">
    <w:abstractNumId w:val="4"/>
  </w:num>
  <w:num w:numId="14">
    <w:abstractNumId w:val="8"/>
  </w:num>
  <w:num w:numId="15">
    <w:abstractNumId w:val="7"/>
  </w:num>
  <w:num w:numId="16">
    <w:abstractNumId w:val="15"/>
  </w:num>
  <w:num w:numId="17">
    <w:abstractNumId w:val="6"/>
  </w:num>
  <w:num w:numId="18">
    <w:abstractNumId w:val="16"/>
  </w:num>
  <w:num w:numId="19">
    <w:abstractNumId w:val="1"/>
  </w:num>
  <w:num w:numId="20">
    <w:abstractNumId w:val="14"/>
  </w:num>
  <w:num w:numId="21">
    <w:abstractNumId w:val="19"/>
  </w:num>
  <w:num w:numId="22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4"/>
    <w:rsid w:val="00011354"/>
    <w:rsid w:val="00024603"/>
    <w:rsid w:val="00045B4B"/>
    <w:rsid w:val="00056CC7"/>
    <w:rsid w:val="00057F15"/>
    <w:rsid w:val="00063005"/>
    <w:rsid w:val="00064E57"/>
    <w:rsid w:val="00067F6A"/>
    <w:rsid w:val="00077D9A"/>
    <w:rsid w:val="000A4DD3"/>
    <w:rsid w:val="000B3F13"/>
    <w:rsid w:val="000C1209"/>
    <w:rsid w:val="000C226C"/>
    <w:rsid w:val="000C24E7"/>
    <w:rsid w:val="000C463E"/>
    <w:rsid w:val="000D59E3"/>
    <w:rsid w:val="000E789B"/>
    <w:rsid w:val="000F1E13"/>
    <w:rsid w:val="00105E9A"/>
    <w:rsid w:val="00127C1C"/>
    <w:rsid w:val="00142DCA"/>
    <w:rsid w:val="001A592B"/>
    <w:rsid w:val="001A7405"/>
    <w:rsid w:val="001E3C08"/>
    <w:rsid w:val="001F1EAE"/>
    <w:rsid w:val="0022320E"/>
    <w:rsid w:val="002423B3"/>
    <w:rsid w:val="0024729E"/>
    <w:rsid w:val="00273EED"/>
    <w:rsid w:val="00276EA5"/>
    <w:rsid w:val="002806B3"/>
    <w:rsid w:val="00287A06"/>
    <w:rsid w:val="00295E0A"/>
    <w:rsid w:val="002A2B7F"/>
    <w:rsid w:val="002D034C"/>
    <w:rsid w:val="002D2702"/>
    <w:rsid w:val="002D4F6A"/>
    <w:rsid w:val="002F1E5C"/>
    <w:rsid w:val="00305ACE"/>
    <w:rsid w:val="00313125"/>
    <w:rsid w:val="00313630"/>
    <w:rsid w:val="00314B46"/>
    <w:rsid w:val="00314F9A"/>
    <w:rsid w:val="00326CE0"/>
    <w:rsid w:val="00355E87"/>
    <w:rsid w:val="00361ACD"/>
    <w:rsid w:val="00362B06"/>
    <w:rsid w:val="00371CA1"/>
    <w:rsid w:val="003744D9"/>
    <w:rsid w:val="003809BA"/>
    <w:rsid w:val="003901F3"/>
    <w:rsid w:val="00392E96"/>
    <w:rsid w:val="003A57CD"/>
    <w:rsid w:val="003B49CD"/>
    <w:rsid w:val="003C5AC4"/>
    <w:rsid w:val="003E36D9"/>
    <w:rsid w:val="003F2E5E"/>
    <w:rsid w:val="00411909"/>
    <w:rsid w:val="00430ED0"/>
    <w:rsid w:val="00431056"/>
    <w:rsid w:val="004316CE"/>
    <w:rsid w:val="004323E9"/>
    <w:rsid w:val="00466535"/>
    <w:rsid w:val="004813B5"/>
    <w:rsid w:val="00483077"/>
    <w:rsid w:val="0049498D"/>
    <w:rsid w:val="004B2C79"/>
    <w:rsid w:val="004B4B66"/>
    <w:rsid w:val="004C3010"/>
    <w:rsid w:val="004C5AE5"/>
    <w:rsid w:val="004D0359"/>
    <w:rsid w:val="004D5DAD"/>
    <w:rsid w:val="004E02AF"/>
    <w:rsid w:val="004E3E25"/>
    <w:rsid w:val="004E6174"/>
    <w:rsid w:val="00552B26"/>
    <w:rsid w:val="00562FED"/>
    <w:rsid w:val="00564E7A"/>
    <w:rsid w:val="00571F33"/>
    <w:rsid w:val="00572361"/>
    <w:rsid w:val="005A5CC1"/>
    <w:rsid w:val="005B5B81"/>
    <w:rsid w:val="005D1E04"/>
    <w:rsid w:val="005D45BF"/>
    <w:rsid w:val="005F0D80"/>
    <w:rsid w:val="005F2FC9"/>
    <w:rsid w:val="006042A1"/>
    <w:rsid w:val="006429A6"/>
    <w:rsid w:val="00643CC4"/>
    <w:rsid w:val="006453B5"/>
    <w:rsid w:val="0065264C"/>
    <w:rsid w:val="00687478"/>
    <w:rsid w:val="006966B3"/>
    <w:rsid w:val="006A2FF4"/>
    <w:rsid w:val="006A604C"/>
    <w:rsid w:val="006E6AB3"/>
    <w:rsid w:val="006F056C"/>
    <w:rsid w:val="006F39F7"/>
    <w:rsid w:val="0070133C"/>
    <w:rsid w:val="0070413E"/>
    <w:rsid w:val="00704BB1"/>
    <w:rsid w:val="00711936"/>
    <w:rsid w:val="007258A4"/>
    <w:rsid w:val="007348DF"/>
    <w:rsid w:val="0074466F"/>
    <w:rsid w:val="00744B51"/>
    <w:rsid w:val="00762A8D"/>
    <w:rsid w:val="00771B40"/>
    <w:rsid w:val="00781775"/>
    <w:rsid w:val="007A06E9"/>
    <w:rsid w:val="007C7D02"/>
    <w:rsid w:val="007E0679"/>
    <w:rsid w:val="007E4CF2"/>
    <w:rsid w:val="007E4FDA"/>
    <w:rsid w:val="00813A7B"/>
    <w:rsid w:val="00824E24"/>
    <w:rsid w:val="0083382D"/>
    <w:rsid w:val="00834FDE"/>
    <w:rsid w:val="00835718"/>
    <w:rsid w:val="0083614F"/>
    <w:rsid w:val="008577B9"/>
    <w:rsid w:val="00864BFE"/>
    <w:rsid w:val="00866135"/>
    <w:rsid w:val="008719BE"/>
    <w:rsid w:val="0087367E"/>
    <w:rsid w:val="00873B60"/>
    <w:rsid w:val="00874E31"/>
    <w:rsid w:val="00892A2A"/>
    <w:rsid w:val="008E1BCB"/>
    <w:rsid w:val="009063AB"/>
    <w:rsid w:val="00913BBC"/>
    <w:rsid w:val="00916F02"/>
    <w:rsid w:val="009277FD"/>
    <w:rsid w:val="009361CD"/>
    <w:rsid w:val="00941855"/>
    <w:rsid w:val="009420B5"/>
    <w:rsid w:val="009628AA"/>
    <w:rsid w:val="00975008"/>
    <w:rsid w:val="009826BD"/>
    <w:rsid w:val="009A332E"/>
    <w:rsid w:val="009D7800"/>
    <w:rsid w:val="00A003F0"/>
    <w:rsid w:val="00A02DB0"/>
    <w:rsid w:val="00A03269"/>
    <w:rsid w:val="00A14E6D"/>
    <w:rsid w:val="00A32176"/>
    <w:rsid w:val="00A36C14"/>
    <w:rsid w:val="00A3784F"/>
    <w:rsid w:val="00A4409A"/>
    <w:rsid w:val="00A61156"/>
    <w:rsid w:val="00A63A69"/>
    <w:rsid w:val="00A855BD"/>
    <w:rsid w:val="00A8720B"/>
    <w:rsid w:val="00A91542"/>
    <w:rsid w:val="00A94505"/>
    <w:rsid w:val="00AA4590"/>
    <w:rsid w:val="00AC0862"/>
    <w:rsid w:val="00AC552C"/>
    <w:rsid w:val="00AD251C"/>
    <w:rsid w:val="00AD7F14"/>
    <w:rsid w:val="00AE01D2"/>
    <w:rsid w:val="00AE2306"/>
    <w:rsid w:val="00AE4FEF"/>
    <w:rsid w:val="00B017B1"/>
    <w:rsid w:val="00B05240"/>
    <w:rsid w:val="00B06E51"/>
    <w:rsid w:val="00B2487B"/>
    <w:rsid w:val="00B319DF"/>
    <w:rsid w:val="00B3311B"/>
    <w:rsid w:val="00B53BA9"/>
    <w:rsid w:val="00B63B58"/>
    <w:rsid w:val="00B70920"/>
    <w:rsid w:val="00B85033"/>
    <w:rsid w:val="00B873EA"/>
    <w:rsid w:val="00BA444C"/>
    <w:rsid w:val="00BA6E6B"/>
    <w:rsid w:val="00BB6406"/>
    <w:rsid w:val="00BC37CF"/>
    <w:rsid w:val="00C1131F"/>
    <w:rsid w:val="00C1234E"/>
    <w:rsid w:val="00C132BB"/>
    <w:rsid w:val="00C361AC"/>
    <w:rsid w:val="00C52DD6"/>
    <w:rsid w:val="00C736D3"/>
    <w:rsid w:val="00C76742"/>
    <w:rsid w:val="00C80923"/>
    <w:rsid w:val="00C83692"/>
    <w:rsid w:val="00C86802"/>
    <w:rsid w:val="00C87370"/>
    <w:rsid w:val="00C90A17"/>
    <w:rsid w:val="00C90C11"/>
    <w:rsid w:val="00C9718F"/>
    <w:rsid w:val="00CA19C2"/>
    <w:rsid w:val="00CA3C16"/>
    <w:rsid w:val="00CA540F"/>
    <w:rsid w:val="00CB20F8"/>
    <w:rsid w:val="00CB74F6"/>
    <w:rsid w:val="00CC3908"/>
    <w:rsid w:val="00CD4B23"/>
    <w:rsid w:val="00CD7B1C"/>
    <w:rsid w:val="00CD7FFB"/>
    <w:rsid w:val="00CE61C8"/>
    <w:rsid w:val="00CF075B"/>
    <w:rsid w:val="00CF1322"/>
    <w:rsid w:val="00CF15DE"/>
    <w:rsid w:val="00CF4410"/>
    <w:rsid w:val="00D00D0D"/>
    <w:rsid w:val="00D23BC9"/>
    <w:rsid w:val="00D26233"/>
    <w:rsid w:val="00D26370"/>
    <w:rsid w:val="00D27C1F"/>
    <w:rsid w:val="00D527AD"/>
    <w:rsid w:val="00D753AE"/>
    <w:rsid w:val="00D832CE"/>
    <w:rsid w:val="00D91262"/>
    <w:rsid w:val="00DA237A"/>
    <w:rsid w:val="00DC5525"/>
    <w:rsid w:val="00DD6DBE"/>
    <w:rsid w:val="00DE3922"/>
    <w:rsid w:val="00DE422E"/>
    <w:rsid w:val="00DE5E66"/>
    <w:rsid w:val="00DF381C"/>
    <w:rsid w:val="00DF6987"/>
    <w:rsid w:val="00E1150D"/>
    <w:rsid w:val="00E125F0"/>
    <w:rsid w:val="00E34533"/>
    <w:rsid w:val="00E5084B"/>
    <w:rsid w:val="00E540ED"/>
    <w:rsid w:val="00E61AA6"/>
    <w:rsid w:val="00E77062"/>
    <w:rsid w:val="00E832E4"/>
    <w:rsid w:val="00EA5060"/>
    <w:rsid w:val="00EB11F9"/>
    <w:rsid w:val="00EB685A"/>
    <w:rsid w:val="00EC4EB2"/>
    <w:rsid w:val="00EC5F40"/>
    <w:rsid w:val="00F02424"/>
    <w:rsid w:val="00F1322A"/>
    <w:rsid w:val="00F16FB6"/>
    <w:rsid w:val="00F22B49"/>
    <w:rsid w:val="00F24238"/>
    <w:rsid w:val="00F25455"/>
    <w:rsid w:val="00F355A6"/>
    <w:rsid w:val="00F4019F"/>
    <w:rsid w:val="00F43094"/>
    <w:rsid w:val="00F433C8"/>
    <w:rsid w:val="00F82328"/>
    <w:rsid w:val="00F9498C"/>
    <w:rsid w:val="00FA0667"/>
    <w:rsid w:val="00FB2F60"/>
    <w:rsid w:val="00FC2CD5"/>
    <w:rsid w:val="00FD08C8"/>
    <w:rsid w:val="00FD488D"/>
    <w:rsid w:val="00FE64AD"/>
    <w:rsid w:val="00FF3734"/>
    <w:rsid w:val="00FF514E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9597"/>
  <w15:chartTrackingRefBased/>
  <w15:docId w15:val="{F5F0F27C-A6FD-4C9C-8988-0D7B4A93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A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6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424"/>
  </w:style>
  <w:style w:type="paragraph" w:styleId="a5">
    <w:name w:val="footer"/>
    <w:basedOn w:val="a"/>
    <w:link w:val="a6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424"/>
  </w:style>
  <w:style w:type="paragraph" w:styleId="a7">
    <w:name w:val="List Paragraph"/>
    <w:basedOn w:val="a"/>
    <w:uiPriority w:val="34"/>
    <w:qFormat/>
    <w:rsid w:val="00F0242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003F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003F0"/>
    <w:rPr>
      <w:color w:val="605E5C"/>
      <w:shd w:val="clear" w:color="auto" w:fill="E1DFDD"/>
    </w:rPr>
  </w:style>
  <w:style w:type="character" w:styleId="aa">
    <w:name w:val="page number"/>
    <w:basedOn w:val="a0"/>
    <w:uiPriority w:val="99"/>
    <w:semiHidden/>
    <w:unhideWhenUsed/>
    <w:rsid w:val="00BB6406"/>
  </w:style>
  <w:style w:type="paragraph" w:styleId="ab">
    <w:name w:val="Balloon Text"/>
    <w:basedOn w:val="a"/>
    <w:link w:val="ac"/>
    <w:uiPriority w:val="99"/>
    <w:semiHidden/>
    <w:unhideWhenUsed/>
    <w:rsid w:val="00431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1056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B4B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B4B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4B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B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B4B66"/>
    <w:rPr>
      <w:b/>
      <w:bCs/>
      <w:sz w:val="20"/>
      <w:szCs w:val="20"/>
    </w:rPr>
  </w:style>
  <w:style w:type="paragraph" w:styleId="af2">
    <w:name w:val="Body Text"/>
    <w:basedOn w:val="a"/>
    <w:link w:val="af3"/>
    <w:rsid w:val="00C80923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3">
    <w:name w:val="Основной текст Знак"/>
    <w:basedOn w:val="a0"/>
    <w:link w:val="af2"/>
    <w:rsid w:val="00C80923"/>
    <w:rPr>
      <w:rFonts w:ascii="Times New Roman" w:eastAsia="Times New Roman" w:hAnsi="Times New Roman" w:cs="Times New Roman"/>
      <w:szCs w:val="20"/>
      <w:lang w:val="en-GB"/>
    </w:rPr>
  </w:style>
  <w:style w:type="table" w:styleId="af4">
    <w:name w:val="Table Grid"/>
    <w:basedOn w:val="a1"/>
    <w:rsid w:val="00C809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7C7D0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826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4904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789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2727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DE7A-769F-FC44-9710-E8B700B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3273</Words>
  <Characters>18661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21891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Belyaeva</dc:creator>
  <cp:keywords/>
  <dc:description/>
  <cp:lastModifiedBy>Vasily Agateev</cp:lastModifiedBy>
  <cp:revision>13</cp:revision>
  <dcterms:created xsi:type="dcterms:W3CDTF">2021-08-05T18:23:00Z</dcterms:created>
  <dcterms:modified xsi:type="dcterms:W3CDTF">2021-09-29T10:13:00Z</dcterms:modified>
  <cp:category/>
</cp:coreProperties>
</file>